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05" w:rsidRPr="00A43205" w:rsidRDefault="00A43205" w:rsidP="00A43205">
      <w:pPr>
        <w:spacing w:line="360" w:lineRule="auto"/>
        <w:ind w:firstLine="720"/>
        <w:jc w:val="center"/>
        <w:rPr>
          <w:rFonts w:ascii="Times New Roman" w:hAnsi="Times New Roman" w:cs="Times New Roman"/>
          <w:b/>
          <w:color w:val="000000"/>
          <w:sz w:val="24"/>
          <w:lang w:val="uk-UA"/>
        </w:rPr>
      </w:pPr>
      <w:r w:rsidRPr="00A43205">
        <w:rPr>
          <w:rFonts w:ascii="Times New Roman" w:hAnsi="Times New Roman" w:cs="Times New Roman"/>
          <w:b/>
          <w:color w:val="000000"/>
          <w:sz w:val="24"/>
          <w:lang w:val="uk-UA"/>
        </w:rPr>
        <w:t>Шановний акціонер!</w:t>
      </w:r>
    </w:p>
    <w:p w:rsidR="00A43205" w:rsidRPr="00A43205" w:rsidRDefault="00A43205" w:rsidP="00A43205">
      <w:pPr>
        <w:shd w:val="clear" w:color="auto" w:fill="FFFFFF"/>
        <w:tabs>
          <w:tab w:val="left" w:pos="851"/>
        </w:tabs>
        <w:snapToGrid w:val="0"/>
        <w:jc w:val="center"/>
        <w:rPr>
          <w:rFonts w:ascii="Times New Roman" w:hAnsi="Times New Roman" w:cs="Times New Roman"/>
          <w:b/>
          <w:bCs/>
          <w:color w:val="000000"/>
          <w:sz w:val="22"/>
          <w:szCs w:val="22"/>
        </w:rPr>
      </w:pPr>
      <w:r w:rsidRPr="00A43205">
        <w:rPr>
          <w:rFonts w:ascii="Times New Roman" w:hAnsi="Times New Roman" w:cs="Times New Roman"/>
          <w:b/>
          <w:bCs/>
          <w:color w:val="000000"/>
          <w:sz w:val="22"/>
          <w:szCs w:val="22"/>
        </w:rPr>
        <w:t>П</w:t>
      </w:r>
      <w:r w:rsidRPr="00A43205">
        <w:rPr>
          <w:rFonts w:ascii="Times New Roman" w:hAnsi="Times New Roman" w:cs="Times New Roman"/>
          <w:b/>
          <w:bCs/>
          <w:color w:val="000000"/>
          <w:sz w:val="22"/>
          <w:szCs w:val="22"/>
          <w:lang w:val="uk-UA"/>
        </w:rPr>
        <w:t>РИВАТ</w:t>
      </w:r>
      <w:r w:rsidRPr="00A43205">
        <w:rPr>
          <w:rFonts w:ascii="Times New Roman" w:hAnsi="Times New Roman" w:cs="Times New Roman"/>
          <w:b/>
          <w:bCs/>
          <w:color w:val="000000"/>
          <w:sz w:val="22"/>
          <w:szCs w:val="22"/>
        </w:rPr>
        <w:t>НЕ АКЦІОНЕРНЕ ТОВАРИСТВО "АТП-0801"</w:t>
      </w:r>
    </w:p>
    <w:p w:rsidR="00A43205" w:rsidRDefault="00A43205" w:rsidP="00A43205">
      <w:pPr>
        <w:shd w:val="clear" w:color="auto" w:fill="FFFFFF"/>
        <w:tabs>
          <w:tab w:val="left" w:pos="851"/>
        </w:tabs>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rPr>
        <w:t xml:space="preserve">(код за ЄДРПОУ: 05521264, місцезнаходження: </w:t>
      </w:r>
      <w:r w:rsidRPr="00A43205">
        <w:rPr>
          <w:rFonts w:ascii="Times New Roman" w:hAnsi="Times New Roman" w:cs="Times New Roman"/>
          <w:color w:val="000000"/>
          <w:sz w:val="22"/>
          <w:szCs w:val="22"/>
          <w:lang w:val="uk-UA"/>
        </w:rPr>
        <w:t>69013, Запорізька обл., місто Запоріжжя, вул. Базова, б. 9-А</w:t>
      </w:r>
      <w:r w:rsidRPr="00A43205">
        <w:rPr>
          <w:rFonts w:ascii="Times New Roman" w:hAnsi="Times New Roman" w:cs="Times New Roman"/>
          <w:color w:val="000000"/>
          <w:sz w:val="22"/>
          <w:szCs w:val="22"/>
        </w:rPr>
        <w:t xml:space="preserve">), </w:t>
      </w:r>
      <w:r w:rsidRPr="00A43205">
        <w:rPr>
          <w:rFonts w:ascii="Times New Roman" w:hAnsi="Times New Roman" w:cs="Times New Roman"/>
          <w:color w:val="000000"/>
          <w:sz w:val="22"/>
          <w:szCs w:val="22"/>
          <w:lang w:val="uk-UA"/>
        </w:rPr>
        <w:t xml:space="preserve">повідомляє про проведення </w:t>
      </w:r>
      <w:r w:rsidRPr="00A43205">
        <w:rPr>
          <w:rFonts w:ascii="Times New Roman" w:hAnsi="Times New Roman" w:cs="Times New Roman"/>
          <w:b/>
          <w:bCs/>
          <w:color w:val="000000"/>
          <w:sz w:val="22"/>
          <w:szCs w:val="22"/>
          <w:lang w:val="uk-UA"/>
        </w:rPr>
        <w:t>річних</w:t>
      </w:r>
      <w:r w:rsidRPr="00A43205">
        <w:rPr>
          <w:rFonts w:ascii="Times New Roman" w:hAnsi="Times New Roman" w:cs="Times New Roman"/>
          <w:b/>
          <w:color w:val="000000"/>
          <w:sz w:val="22"/>
          <w:szCs w:val="22"/>
          <w:lang w:val="uk-UA"/>
        </w:rPr>
        <w:t xml:space="preserve">  загальних зборів</w:t>
      </w:r>
      <w:r>
        <w:rPr>
          <w:rFonts w:ascii="Times New Roman" w:hAnsi="Times New Roman" w:cs="Times New Roman"/>
          <w:color w:val="000000"/>
          <w:sz w:val="22"/>
          <w:szCs w:val="22"/>
          <w:lang w:val="uk-UA"/>
        </w:rPr>
        <w:t xml:space="preserve"> акціонерів Товариства,</w:t>
      </w:r>
    </w:p>
    <w:p w:rsidR="00A43205" w:rsidRPr="00A43205" w:rsidRDefault="00A43205" w:rsidP="00A43205">
      <w:pPr>
        <w:shd w:val="clear" w:color="auto" w:fill="FFFFFF"/>
        <w:tabs>
          <w:tab w:val="left" w:pos="851"/>
        </w:tabs>
        <w:jc w:val="center"/>
        <w:rPr>
          <w:rFonts w:ascii="Times New Roman" w:hAnsi="Times New Roman" w:cs="Times New Roman"/>
          <w:color w:val="000000"/>
          <w:sz w:val="22"/>
          <w:szCs w:val="22"/>
        </w:rPr>
      </w:pPr>
      <w:r w:rsidRPr="00A43205">
        <w:rPr>
          <w:rFonts w:ascii="Times New Roman" w:hAnsi="Times New Roman" w:cs="Times New Roman"/>
          <w:color w:val="000000"/>
          <w:sz w:val="22"/>
          <w:szCs w:val="22"/>
          <w:lang w:val="uk-UA"/>
        </w:rPr>
        <w:t>які відбудуться</w:t>
      </w:r>
      <w:r w:rsidRPr="00A43205">
        <w:rPr>
          <w:rFonts w:ascii="Times New Roman" w:hAnsi="Times New Roman" w:cs="Times New Roman"/>
          <w:b/>
          <w:bCs/>
          <w:color w:val="000000"/>
          <w:sz w:val="22"/>
          <w:szCs w:val="22"/>
          <w:lang w:val="uk-UA"/>
        </w:rPr>
        <w:t xml:space="preserve"> 25 квітня 2019 року</w:t>
      </w:r>
      <w:r w:rsidRPr="00A43205">
        <w:rPr>
          <w:rFonts w:ascii="Times New Roman" w:hAnsi="Times New Roman" w:cs="Times New Roman"/>
          <w:color w:val="000000"/>
          <w:sz w:val="22"/>
          <w:szCs w:val="22"/>
          <w:lang w:val="uk-UA"/>
        </w:rPr>
        <w:t xml:space="preserve"> о </w:t>
      </w:r>
      <w:r w:rsidRPr="00A43205">
        <w:rPr>
          <w:rFonts w:ascii="Times New Roman" w:hAnsi="Times New Roman" w:cs="Times New Roman"/>
          <w:b/>
          <w:bCs/>
          <w:color w:val="000000"/>
          <w:sz w:val="22"/>
          <w:szCs w:val="22"/>
          <w:lang w:val="uk-UA"/>
        </w:rPr>
        <w:t>14:00 годині</w:t>
      </w:r>
      <w:r w:rsidRPr="00A43205">
        <w:rPr>
          <w:rFonts w:ascii="Times New Roman" w:hAnsi="Times New Roman" w:cs="Times New Roman"/>
          <w:color w:val="000000"/>
          <w:sz w:val="22"/>
          <w:szCs w:val="22"/>
          <w:lang w:val="uk-UA"/>
        </w:rPr>
        <w:t xml:space="preserve"> за адресою:</w:t>
      </w:r>
      <w:r w:rsidRPr="00A43205">
        <w:rPr>
          <w:rFonts w:ascii="Times New Roman" w:hAnsi="Times New Roman" w:cs="Times New Roman"/>
          <w:b/>
          <w:bCs/>
          <w:color w:val="000000"/>
          <w:sz w:val="22"/>
          <w:szCs w:val="22"/>
          <w:lang w:val="uk-UA"/>
        </w:rPr>
        <w:t xml:space="preserve"> 69013, Запорізька обл., м</w:t>
      </w:r>
      <w:r>
        <w:rPr>
          <w:rFonts w:ascii="Times New Roman" w:hAnsi="Times New Roman" w:cs="Times New Roman"/>
          <w:b/>
          <w:bCs/>
          <w:color w:val="000000"/>
          <w:sz w:val="22"/>
          <w:szCs w:val="22"/>
          <w:lang w:val="uk-UA"/>
        </w:rPr>
        <w:t>.Запоріжжя, вул.</w:t>
      </w:r>
      <w:r w:rsidRPr="00A43205">
        <w:rPr>
          <w:rFonts w:ascii="Times New Roman" w:hAnsi="Times New Roman" w:cs="Times New Roman"/>
          <w:b/>
          <w:bCs/>
          <w:color w:val="000000"/>
          <w:sz w:val="22"/>
          <w:szCs w:val="22"/>
          <w:lang w:val="uk-UA"/>
        </w:rPr>
        <w:t xml:space="preserve">Базова, буд. 9-А, </w:t>
      </w:r>
      <w:r w:rsidRPr="00A43205">
        <w:rPr>
          <w:rFonts w:ascii="Times New Roman" w:hAnsi="Times New Roman" w:cs="Times New Roman"/>
          <w:b/>
          <w:bCs/>
          <w:color w:val="000000"/>
          <w:sz w:val="22"/>
          <w:szCs w:val="22"/>
        </w:rPr>
        <w:t>зал</w:t>
      </w:r>
      <w:r w:rsidRPr="00A43205">
        <w:rPr>
          <w:rFonts w:ascii="Times New Roman" w:hAnsi="Times New Roman" w:cs="Times New Roman"/>
          <w:b/>
          <w:bCs/>
          <w:color w:val="000000"/>
          <w:sz w:val="22"/>
          <w:szCs w:val="22"/>
          <w:lang w:val="uk-UA"/>
        </w:rPr>
        <w:t xml:space="preserve">  засідань  на 2-му поверсі адмінкорпусу.</w:t>
      </w:r>
    </w:p>
    <w:p w:rsidR="00A43205" w:rsidRPr="00A43205" w:rsidRDefault="00A43205" w:rsidP="00A43205">
      <w:pPr>
        <w:shd w:val="clear" w:color="auto" w:fill="FFFFFF"/>
        <w:tabs>
          <w:tab w:val="left" w:pos="851"/>
        </w:tabs>
        <w:jc w:val="center"/>
        <w:rPr>
          <w:rFonts w:ascii="Times New Roman" w:hAnsi="Times New Roman" w:cs="Times New Roman"/>
          <w:b/>
          <w:bCs/>
          <w:sz w:val="22"/>
          <w:szCs w:val="22"/>
          <w:lang w:val="uk-UA"/>
        </w:rPr>
      </w:pPr>
      <w:r w:rsidRPr="00A43205">
        <w:rPr>
          <w:rFonts w:ascii="Times New Roman" w:hAnsi="Times New Roman" w:cs="Times New Roman"/>
          <w:b/>
          <w:bCs/>
          <w:sz w:val="22"/>
          <w:szCs w:val="22"/>
          <w:lang w:val="uk-UA"/>
        </w:rPr>
        <w:t>ПРОЕКТ ПОРЯДОКУ ДЕННОГО:</w:t>
      </w:r>
    </w:p>
    <w:p w:rsidR="00A43205" w:rsidRPr="00A43205" w:rsidRDefault="00A43205" w:rsidP="00A43205">
      <w:pPr>
        <w:numPr>
          <w:ilvl w:val="0"/>
          <w:numId w:val="1"/>
        </w:numPr>
        <w:tabs>
          <w:tab w:val="clear" w:pos="720"/>
        </w:tabs>
        <w:ind w:hanging="294"/>
        <w:rPr>
          <w:rFonts w:ascii="Times New Roman" w:hAnsi="Times New Roman" w:cs="Times New Roman"/>
          <w:color w:val="000000"/>
          <w:sz w:val="22"/>
          <w:szCs w:val="22"/>
          <w:lang w:val="uk-UA"/>
        </w:rPr>
      </w:pPr>
      <w:r w:rsidRPr="00A43205">
        <w:rPr>
          <w:rFonts w:ascii="Times New Roman" w:hAnsi="Times New Roman" w:cs="Times New Roman"/>
          <w:sz w:val="22"/>
          <w:szCs w:val="22"/>
          <w:lang w:val="uk-UA"/>
        </w:rPr>
        <w:t>Обрання  голови  та членів лічильної  комісії  зборів</w:t>
      </w:r>
      <w:r w:rsidRPr="00A43205">
        <w:rPr>
          <w:rFonts w:ascii="Times New Roman" w:hAnsi="Times New Roman" w:cs="Times New Roman"/>
          <w:color w:val="000000"/>
          <w:sz w:val="22"/>
          <w:szCs w:val="22"/>
          <w:lang w:val="uk-UA"/>
        </w:rPr>
        <w:t>.</w:t>
      </w:r>
    </w:p>
    <w:p w:rsidR="00A43205" w:rsidRPr="00A43205" w:rsidRDefault="00A43205" w:rsidP="00A43205">
      <w:pPr>
        <w:ind w:left="426" w:hanging="12"/>
        <w:jc w:val="both"/>
        <w:rPr>
          <w:rFonts w:ascii="Times New Roman" w:hAnsi="Times New Roman" w:cs="Times New Roman"/>
          <w:color w:val="000000"/>
          <w:sz w:val="22"/>
          <w:szCs w:val="22"/>
          <w:lang w:val="uk-UA"/>
        </w:rPr>
      </w:pPr>
      <w:r w:rsidRPr="00A43205">
        <w:rPr>
          <w:rFonts w:ascii="Times New Roman" w:hAnsi="Times New Roman" w:cs="Times New Roman"/>
          <w:b/>
          <w:bCs/>
          <w:i/>
          <w:sz w:val="22"/>
          <w:szCs w:val="22"/>
          <w:lang w:val="uk-UA"/>
        </w:rPr>
        <w:t>Проект рішення:</w:t>
      </w:r>
      <w:r w:rsidRPr="00A43205">
        <w:rPr>
          <w:rFonts w:ascii="Times New Roman" w:hAnsi="Times New Roman" w:cs="Times New Roman"/>
          <w:i/>
          <w:sz w:val="22"/>
          <w:szCs w:val="22"/>
          <w:lang w:val="uk-UA"/>
        </w:rPr>
        <w:t xml:space="preserve"> Обрати Головою лічильної комісії – Безденежну Наталю Борисівну</w:t>
      </w:r>
      <w:r w:rsidRPr="00A43205">
        <w:rPr>
          <w:rFonts w:ascii="Times New Roman" w:hAnsi="Times New Roman" w:cs="Times New Roman"/>
          <w:i/>
          <w:color w:val="000000"/>
          <w:sz w:val="22"/>
          <w:szCs w:val="22"/>
          <w:lang w:val="uk-UA"/>
        </w:rPr>
        <w:t>, членом лічильної комісії – Жиліна Олександра Анатолійовича  , членом лічильної комісії – Чорненка Миколу Петровича.</w:t>
      </w:r>
    </w:p>
    <w:p w:rsidR="00A43205" w:rsidRPr="00A43205" w:rsidRDefault="00A43205" w:rsidP="00A43205">
      <w:pPr>
        <w:numPr>
          <w:ilvl w:val="0"/>
          <w:numId w:val="1"/>
        </w:numP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Обрання  голови,  секретаря   зборів, затвердження  порядку проведення загальних зборів (регламенту зборів).</w:t>
      </w:r>
    </w:p>
    <w:p w:rsidR="00A43205" w:rsidRPr="00A43205" w:rsidRDefault="00A43205" w:rsidP="00A43205">
      <w:pPr>
        <w:autoSpaceDE w:val="0"/>
        <w:ind w:left="426"/>
        <w:jc w:val="both"/>
        <w:rPr>
          <w:rFonts w:ascii="Times New Roman" w:hAnsi="Times New Roman" w:cs="Times New Roman"/>
          <w:i/>
          <w:color w:val="000000"/>
          <w:spacing w:val="-2"/>
          <w:sz w:val="22"/>
          <w:szCs w:val="22"/>
          <w:lang w:val="uk-UA"/>
        </w:rPr>
      </w:pPr>
      <w:r w:rsidRPr="00A43205">
        <w:rPr>
          <w:rFonts w:ascii="Times New Roman" w:hAnsi="Times New Roman" w:cs="Times New Roman"/>
          <w:b/>
          <w:i/>
          <w:sz w:val="22"/>
          <w:szCs w:val="22"/>
          <w:lang w:val="uk-UA"/>
        </w:rPr>
        <w:t xml:space="preserve">Проект рішення: </w:t>
      </w:r>
      <w:r w:rsidRPr="00A43205">
        <w:rPr>
          <w:rFonts w:ascii="Times New Roman" w:hAnsi="Times New Roman" w:cs="Times New Roman"/>
          <w:i/>
          <w:color w:val="000000"/>
          <w:spacing w:val="-2"/>
          <w:sz w:val="22"/>
          <w:szCs w:val="22"/>
          <w:lang w:val="uk-UA"/>
        </w:rPr>
        <w:t>Обрати Головою зборів: Потапову Тетяну Анатоліївну, Секретарем зборів  Костян Тамару</w:t>
      </w:r>
      <w:r w:rsidRPr="00A43205">
        <w:rPr>
          <w:rFonts w:ascii="Times New Roman" w:hAnsi="Times New Roman" w:cs="Times New Roman"/>
          <w:i/>
          <w:color w:val="000000"/>
          <w:spacing w:val="-2"/>
          <w:sz w:val="22"/>
          <w:szCs w:val="22"/>
          <w:lang w:val="uk-UA"/>
        </w:rPr>
        <w:t xml:space="preserve"> </w:t>
      </w:r>
      <w:r w:rsidRPr="00A43205">
        <w:rPr>
          <w:rFonts w:ascii="Times New Roman" w:hAnsi="Times New Roman" w:cs="Times New Roman"/>
          <w:i/>
          <w:color w:val="000000"/>
          <w:spacing w:val="-2"/>
          <w:sz w:val="22"/>
          <w:szCs w:val="22"/>
          <w:lang w:val="uk-UA"/>
        </w:rPr>
        <w:t>Володимирівну. Затвердити наступний порядок проведення загальних зборів (регламент зборів):</w:t>
      </w:r>
    </w:p>
    <w:p w:rsidR="00A43205" w:rsidRPr="00A43205" w:rsidRDefault="00A43205" w:rsidP="00A43205">
      <w:pPr>
        <w:ind w:left="426"/>
        <w:jc w:val="both"/>
        <w:rPr>
          <w:rFonts w:ascii="Times New Roman" w:hAnsi="Times New Roman" w:cs="Times New Roman"/>
          <w:i/>
          <w:color w:val="000000"/>
          <w:sz w:val="22"/>
          <w:szCs w:val="22"/>
          <w:lang w:val="uk-UA"/>
        </w:rPr>
      </w:pPr>
      <w:r w:rsidRPr="00A43205">
        <w:rPr>
          <w:rFonts w:ascii="Times New Roman" w:hAnsi="Times New Roman" w:cs="Times New Roman"/>
          <w:i/>
          <w:color w:val="000000"/>
          <w:sz w:val="22"/>
          <w:szCs w:val="22"/>
          <w:lang w:val="uk-UA"/>
        </w:rPr>
        <w:t xml:space="preserve">    - виступи по питаннях порядку денного  - до 20 хв.;</w:t>
      </w:r>
    </w:p>
    <w:p w:rsidR="00A43205" w:rsidRPr="00A43205" w:rsidRDefault="00A43205" w:rsidP="00A43205">
      <w:pPr>
        <w:ind w:left="426"/>
        <w:jc w:val="both"/>
        <w:rPr>
          <w:rFonts w:ascii="Times New Roman" w:hAnsi="Times New Roman" w:cs="Times New Roman"/>
          <w:i/>
          <w:color w:val="000000"/>
          <w:sz w:val="22"/>
          <w:szCs w:val="22"/>
          <w:lang w:val="uk-UA"/>
        </w:rPr>
      </w:pPr>
      <w:r w:rsidRPr="00A43205">
        <w:rPr>
          <w:rFonts w:ascii="Times New Roman" w:hAnsi="Times New Roman" w:cs="Times New Roman"/>
          <w:i/>
          <w:color w:val="000000"/>
          <w:sz w:val="22"/>
          <w:szCs w:val="22"/>
          <w:lang w:val="uk-UA"/>
        </w:rPr>
        <w:t xml:space="preserve">    - запитання, довідки доповідачам - до 10 хв.;</w:t>
      </w:r>
    </w:p>
    <w:p w:rsidR="00A43205" w:rsidRPr="00A43205" w:rsidRDefault="00A43205" w:rsidP="00A43205">
      <w:pPr>
        <w:autoSpaceDE w:val="0"/>
        <w:ind w:left="426"/>
        <w:jc w:val="both"/>
        <w:rPr>
          <w:rFonts w:ascii="Times New Roman" w:hAnsi="Times New Roman" w:cs="Times New Roman"/>
          <w:i/>
          <w:color w:val="000000"/>
          <w:spacing w:val="-2"/>
          <w:sz w:val="22"/>
          <w:szCs w:val="22"/>
          <w:lang w:val="uk-UA"/>
        </w:rPr>
      </w:pPr>
      <w:r w:rsidRPr="00A43205">
        <w:rPr>
          <w:rFonts w:ascii="Times New Roman" w:hAnsi="Times New Roman" w:cs="Times New Roman"/>
          <w:i/>
          <w:color w:val="000000"/>
          <w:spacing w:val="-2"/>
          <w:sz w:val="22"/>
          <w:szCs w:val="22"/>
          <w:lang w:val="uk-UA"/>
        </w:rPr>
        <w:t xml:space="preserve">    - збори провести без перерви.</w:t>
      </w:r>
    </w:p>
    <w:p w:rsidR="00A43205" w:rsidRPr="00A43205" w:rsidRDefault="00A43205" w:rsidP="00A43205">
      <w:pPr>
        <w:numPr>
          <w:ilvl w:val="0"/>
          <w:numId w:val="1"/>
        </w:numPr>
        <w:rPr>
          <w:rFonts w:ascii="Times New Roman" w:hAnsi="Times New Roman" w:cs="Times New Roman"/>
          <w:color w:val="000000"/>
          <w:sz w:val="22"/>
          <w:szCs w:val="22"/>
          <w:lang w:val="uk-UA"/>
        </w:rPr>
      </w:pPr>
      <w:r w:rsidRPr="00A43205">
        <w:rPr>
          <w:rFonts w:ascii="Times New Roman" w:hAnsi="Times New Roman" w:cs="Times New Roman"/>
          <w:sz w:val="22"/>
          <w:szCs w:val="22"/>
          <w:lang w:val="uk-UA"/>
        </w:rPr>
        <w:t>Про з</w:t>
      </w:r>
      <w:r w:rsidRPr="00A43205">
        <w:rPr>
          <w:rFonts w:ascii="Times New Roman" w:hAnsi="Times New Roman" w:cs="Times New Roman"/>
          <w:sz w:val="22"/>
          <w:szCs w:val="22"/>
        </w:rPr>
        <w:t>атвердження порядку та способу засвідчення бюлетен</w:t>
      </w:r>
      <w:r w:rsidRPr="00A43205">
        <w:rPr>
          <w:rFonts w:ascii="Times New Roman" w:hAnsi="Times New Roman" w:cs="Times New Roman"/>
          <w:sz w:val="22"/>
          <w:szCs w:val="22"/>
          <w:lang w:val="uk-UA"/>
        </w:rPr>
        <w:t>ів</w:t>
      </w:r>
      <w:r w:rsidRPr="00A43205">
        <w:rPr>
          <w:rFonts w:ascii="Times New Roman" w:hAnsi="Times New Roman" w:cs="Times New Roman"/>
          <w:sz w:val="22"/>
          <w:szCs w:val="22"/>
        </w:rPr>
        <w:t xml:space="preserve"> для голосування на </w:t>
      </w:r>
      <w:r w:rsidRPr="00A43205">
        <w:rPr>
          <w:rFonts w:ascii="Times New Roman" w:hAnsi="Times New Roman" w:cs="Times New Roman"/>
          <w:sz w:val="22"/>
          <w:szCs w:val="22"/>
          <w:lang w:val="uk-UA"/>
        </w:rPr>
        <w:t xml:space="preserve">чергових </w:t>
      </w:r>
      <w:r w:rsidRPr="00A43205">
        <w:rPr>
          <w:rFonts w:ascii="Times New Roman" w:hAnsi="Times New Roman" w:cs="Times New Roman"/>
          <w:sz w:val="22"/>
          <w:szCs w:val="22"/>
        </w:rPr>
        <w:t xml:space="preserve">загальних зборах </w:t>
      </w:r>
      <w:r w:rsidRPr="00A43205">
        <w:rPr>
          <w:rFonts w:ascii="Times New Roman" w:hAnsi="Times New Roman" w:cs="Times New Roman"/>
          <w:sz w:val="22"/>
          <w:szCs w:val="22"/>
          <w:lang w:val="uk-UA"/>
        </w:rPr>
        <w:t>акціонерів.</w:t>
      </w:r>
    </w:p>
    <w:p w:rsidR="00A43205" w:rsidRPr="00A43205" w:rsidRDefault="00A43205" w:rsidP="00A43205">
      <w:pPr>
        <w:autoSpaceDE w:val="0"/>
        <w:ind w:left="426"/>
        <w:jc w:val="both"/>
        <w:rPr>
          <w:rStyle w:val="FontStyle"/>
          <w:rFonts w:ascii="Times New Roman" w:hAnsi="Times New Roman"/>
          <w:i/>
          <w:spacing w:val="-2"/>
          <w:sz w:val="22"/>
          <w:szCs w:val="22"/>
          <w:lang w:val="uk-UA"/>
        </w:rPr>
      </w:pPr>
      <w:r w:rsidRPr="00A43205">
        <w:rPr>
          <w:rFonts w:ascii="Times New Roman" w:hAnsi="Times New Roman" w:cs="Times New Roman"/>
          <w:b/>
          <w:i/>
          <w:sz w:val="22"/>
          <w:szCs w:val="22"/>
          <w:lang w:val="uk-UA"/>
        </w:rPr>
        <w:t>Проект рішення:</w:t>
      </w:r>
      <w:r w:rsidRPr="00A43205">
        <w:rPr>
          <w:rFonts w:ascii="Times New Roman" w:hAnsi="Times New Roman" w:cs="Times New Roman"/>
          <w:i/>
          <w:sz w:val="22"/>
          <w:szCs w:val="22"/>
          <w:lang w:val="uk-UA"/>
        </w:rPr>
        <w:t xml:space="preserve"> </w:t>
      </w:r>
      <w:r w:rsidRPr="00A43205">
        <w:rPr>
          <w:rStyle w:val="FontStyle"/>
          <w:rFonts w:ascii="Times New Roman" w:hAnsi="Times New Roman"/>
          <w:i/>
          <w:spacing w:val="-2"/>
          <w:sz w:val="22"/>
          <w:szCs w:val="22"/>
        </w:rPr>
        <w:t>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A43205" w:rsidRPr="00A43205" w:rsidRDefault="00A43205" w:rsidP="00A43205">
      <w:pPr>
        <w:numPr>
          <w:ilvl w:val="0"/>
          <w:numId w:val="1"/>
        </w:numPr>
        <w:spacing w:line="100" w:lineRule="atLeast"/>
        <w:jc w:val="both"/>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 xml:space="preserve">Розгляд  звіту директора про результати фінансово-господарської діяльності Товариства  за 2018 рік та його затвердження. </w:t>
      </w:r>
    </w:p>
    <w:p w:rsidR="00A43205" w:rsidRPr="00A43205" w:rsidRDefault="00A43205" w:rsidP="00A43205">
      <w:pPr>
        <w:shd w:val="clear" w:color="auto" w:fill="FFFFFF"/>
        <w:spacing w:line="200" w:lineRule="atLeast"/>
        <w:ind w:left="426" w:right="97"/>
        <w:jc w:val="both"/>
        <w:rPr>
          <w:rFonts w:ascii="Times New Roman" w:hAnsi="Times New Roman" w:cs="Times New Roman"/>
          <w:i/>
          <w:color w:val="000000"/>
          <w:spacing w:val="-2"/>
          <w:sz w:val="22"/>
          <w:szCs w:val="22"/>
          <w:lang w:val="uk-UA"/>
        </w:rPr>
      </w:pPr>
      <w:r w:rsidRPr="00A43205">
        <w:rPr>
          <w:rFonts w:ascii="Times New Roman" w:hAnsi="Times New Roman" w:cs="Times New Roman"/>
          <w:b/>
          <w:bCs/>
          <w:i/>
          <w:color w:val="000000"/>
          <w:spacing w:val="-2"/>
          <w:sz w:val="22"/>
          <w:szCs w:val="22"/>
          <w:lang w:val="uk-UA"/>
        </w:rPr>
        <w:t>Проект рішення:</w:t>
      </w:r>
      <w:r w:rsidRPr="00A43205">
        <w:rPr>
          <w:rFonts w:ascii="Times New Roman" w:hAnsi="Times New Roman" w:cs="Times New Roman"/>
          <w:i/>
          <w:color w:val="000000"/>
          <w:spacing w:val="-2"/>
          <w:sz w:val="22"/>
          <w:szCs w:val="22"/>
          <w:lang w:val="uk-UA"/>
        </w:rPr>
        <w:t xml:space="preserve"> Затвердити звіт  Директора за результатами фінансово-господарської діяльності Товариства</w:t>
      </w:r>
      <w:r w:rsidRPr="00A43205">
        <w:rPr>
          <w:rFonts w:ascii="Times New Roman" w:hAnsi="Times New Roman" w:cs="Times New Roman"/>
          <w:i/>
          <w:color w:val="000000"/>
          <w:spacing w:val="-2"/>
          <w:sz w:val="22"/>
          <w:szCs w:val="22"/>
          <w:lang w:val="uk-UA"/>
        </w:rPr>
        <w:t xml:space="preserve"> </w:t>
      </w:r>
      <w:r w:rsidRPr="00A43205">
        <w:rPr>
          <w:rFonts w:ascii="Times New Roman" w:hAnsi="Times New Roman" w:cs="Times New Roman"/>
          <w:i/>
          <w:color w:val="000000"/>
          <w:spacing w:val="-2"/>
          <w:sz w:val="22"/>
          <w:szCs w:val="22"/>
          <w:lang w:val="uk-UA"/>
        </w:rPr>
        <w:t>за 2018 р.</w:t>
      </w:r>
    </w:p>
    <w:p w:rsidR="00A43205" w:rsidRPr="00A43205" w:rsidRDefault="00A43205" w:rsidP="00A43205">
      <w:pPr>
        <w:numPr>
          <w:ilvl w:val="0"/>
          <w:numId w:val="1"/>
        </w:numP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Розгляд звіту Наглядової ради за 2018 рік та його затвердження</w:t>
      </w:r>
    </w:p>
    <w:p w:rsidR="00A43205" w:rsidRPr="00A43205" w:rsidRDefault="00A43205" w:rsidP="00A43205">
      <w:pPr>
        <w:shd w:val="clear" w:color="auto" w:fill="FFFFFF"/>
        <w:spacing w:line="200" w:lineRule="atLeast"/>
        <w:ind w:left="426" w:right="97"/>
        <w:jc w:val="both"/>
        <w:rPr>
          <w:rFonts w:ascii="Times New Roman" w:hAnsi="Times New Roman" w:cs="Times New Roman"/>
          <w:i/>
          <w:color w:val="000000"/>
          <w:sz w:val="22"/>
          <w:szCs w:val="22"/>
          <w:lang w:val="uk-UA"/>
        </w:rPr>
      </w:pPr>
      <w:r w:rsidRPr="00A43205">
        <w:rPr>
          <w:rFonts w:ascii="Times New Roman" w:hAnsi="Times New Roman" w:cs="Times New Roman"/>
          <w:b/>
          <w:bCs/>
          <w:i/>
          <w:color w:val="000000"/>
          <w:sz w:val="22"/>
          <w:szCs w:val="22"/>
          <w:lang w:val="uk-UA"/>
        </w:rPr>
        <w:t>Проект рішення:</w:t>
      </w:r>
      <w:r w:rsidRPr="00A43205">
        <w:rPr>
          <w:rFonts w:ascii="Times New Roman" w:hAnsi="Times New Roman" w:cs="Times New Roman"/>
          <w:i/>
          <w:color w:val="000000"/>
          <w:sz w:val="22"/>
          <w:szCs w:val="22"/>
          <w:lang w:val="uk-UA"/>
        </w:rPr>
        <w:t xml:space="preserve"> Затвердити звіт Наглядової ради за 2018 рік.</w:t>
      </w:r>
    </w:p>
    <w:p w:rsidR="00A43205" w:rsidRPr="00A43205" w:rsidRDefault="00A43205" w:rsidP="00A43205">
      <w:pPr>
        <w:numPr>
          <w:ilvl w:val="0"/>
          <w:numId w:val="1"/>
        </w:numP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Розгляд звіту та висновків Ревізійної комісії Товариства  за 2018рік та їх затвердження.</w:t>
      </w:r>
    </w:p>
    <w:p w:rsidR="00A43205" w:rsidRPr="00A43205" w:rsidRDefault="00A43205" w:rsidP="00A43205">
      <w:pPr>
        <w:shd w:val="clear" w:color="auto" w:fill="FFFFFF"/>
        <w:spacing w:line="200" w:lineRule="atLeast"/>
        <w:ind w:right="97" w:firstLine="426"/>
        <w:jc w:val="both"/>
        <w:rPr>
          <w:rFonts w:ascii="Times New Roman" w:hAnsi="Times New Roman" w:cs="Times New Roman"/>
          <w:i/>
          <w:color w:val="000000"/>
          <w:sz w:val="22"/>
          <w:szCs w:val="22"/>
          <w:lang w:val="uk-UA"/>
        </w:rPr>
      </w:pPr>
      <w:r w:rsidRPr="00A43205">
        <w:rPr>
          <w:rFonts w:ascii="Times New Roman" w:hAnsi="Times New Roman" w:cs="Times New Roman"/>
          <w:b/>
          <w:bCs/>
          <w:i/>
          <w:color w:val="000000"/>
          <w:sz w:val="22"/>
          <w:szCs w:val="22"/>
          <w:lang w:val="uk-UA"/>
        </w:rPr>
        <w:t>Проект рішення:</w:t>
      </w:r>
      <w:r w:rsidRPr="00A43205">
        <w:rPr>
          <w:rFonts w:ascii="Times New Roman" w:hAnsi="Times New Roman" w:cs="Times New Roman"/>
          <w:i/>
          <w:color w:val="000000"/>
          <w:sz w:val="22"/>
          <w:szCs w:val="22"/>
          <w:lang w:val="uk-UA"/>
        </w:rPr>
        <w:t xml:space="preserve"> Затвердити звіт та висновки Ревізійної комісії Товариства  за 2018 рік.</w:t>
      </w:r>
    </w:p>
    <w:p w:rsidR="00A43205" w:rsidRPr="00A43205" w:rsidRDefault="00A43205" w:rsidP="00A43205">
      <w:pPr>
        <w:numPr>
          <w:ilvl w:val="0"/>
          <w:numId w:val="1"/>
        </w:numP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Затвердження  річного  звіту Товариства за 2018 рік.</w:t>
      </w:r>
    </w:p>
    <w:p w:rsidR="00A43205" w:rsidRPr="00A43205" w:rsidRDefault="00A43205" w:rsidP="00A43205">
      <w:pPr>
        <w:shd w:val="clear" w:color="auto" w:fill="FFFFFF"/>
        <w:spacing w:line="200" w:lineRule="atLeast"/>
        <w:ind w:right="97" w:firstLine="426"/>
        <w:jc w:val="both"/>
        <w:rPr>
          <w:rFonts w:ascii="Times New Roman" w:hAnsi="Times New Roman" w:cs="Times New Roman"/>
          <w:i/>
          <w:color w:val="000000"/>
          <w:spacing w:val="-2"/>
          <w:sz w:val="22"/>
          <w:szCs w:val="22"/>
          <w:lang w:val="uk-UA"/>
        </w:rPr>
      </w:pPr>
      <w:r w:rsidRPr="00A43205">
        <w:rPr>
          <w:rFonts w:ascii="Times New Roman" w:hAnsi="Times New Roman" w:cs="Times New Roman"/>
          <w:b/>
          <w:bCs/>
          <w:i/>
          <w:color w:val="000000"/>
          <w:sz w:val="22"/>
          <w:szCs w:val="22"/>
          <w:lang w:val="uk-UA"/>
        </w:rPr>
        <w:t>Проект рішення:</w:t>
      </w:r>
      <w:r w:rsidRPr="00A43205">
        <w:rPr>
          <w:rFonts w:ascii="Times New Roman" w:hAnsi="Times New Roman" w:cs="Times New Roman"/>
          <w:i/>
          <w:color w:val="000000"/>
          <w:sz w:val="22"/>
          <w:szCs w:val="22"/>
          <w:lang w:val="uk-UA"/>
        </w:rPr>
        <w:t xml:space="preserve"> Затвердити </w:t>
      </w:r>
      <w:r w:rsidRPr="00A43205">
        <w:rPr>
          <w:rFonts w:ascii="Times New Roman" w:hAnsi="Times New Roman" w:cs="Times New Roman"/>
          <w:i/>
          <w:color w:val="000000"/>
          <w:spacing w:val="-2"/>
          <w:sz w:val="22"/>
          <w:szCs w:val="22"/>
          <w:lang w:val="uk-UA"/>
        </w:rPr>
        <w:t>річний звіт Товариства за 2018 рік.</w:t>
      </w:r>
    </w:p>
    <w:p w:rsidR="00A43205" w:rsidRPr="00A43205" w:rsidRDefault="00A43205" w:rsidP="00A43205">
      <w:pPr>
        <w:numPr>
          <w:ilvl w:val="0"/>
          <w:numId w:val="1"/>
        </w:numPr>
        <w:spacing w:line="100" w:lineRule="atLeast"/>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Затвердження порядку розподілу (покриття) прибутку ( збитку) Товариства за 2018 рік.</w:t>
      </w:r>
    </w:p>
    <w:p w:rsidR="00A43205" w:rsidRPr="00A43205" w:rsidRDefault="00A43205" w:rsidP="00A43205">
      <w:pPr>
        <w:shd w:val="clear" w:color="auto" w:fill="FFFFFF"/>
        <w:spacing w:line="200" w:lineRule="atLeast"/>
        <w:ind w:left="426" w:right="97"/>
        <w:jc w:val="both"/>
        <w:rPr>
          <w:rFonts w:ascii="Times New Roman" w:hAnsi="Times New Roman" w:cs="Times New Roman"/>
          <w:bCs/>
          <w:i/>
          <w:color w:val="000000"/>
          <w:sz w:val="22"/>
          <w:szCs w:val="22"/>
          <w:lang w:val="uk-UA"/>
        </w:rPr>
      </w:pPr>
      <w:r w:rsidRPr="00A43205">
        <w:rPr>
          <w:rFonts w:ascii="Times New Roman" w:hAnsi="Times New Roman" w:cs="Times New Roman"/>
          <w:b/>
          <w:bCs/>
          <w:i/>
          <w:color w:val="000000"/>
          <w:sz w:val="22"/>
          <w:szCs w:val="22"/>
          <w:lang w:val="uk-UA"/>
        </w:rPr>
        <w:t>Проект рішення:</w:t>
      </w:r>
      <w:r w:rsidRPr="00A43205">
        <w:rPr>
          <w:rFonts w:ascii="Times New Roman" w:hAnsi="Times New Roman" w:cs="Times New Roman"/>
          <w:i/>
          <w:color w:val="000000"/>
          <w:sz w:val="22"/>
          <w:szCs w:val="22"/>
          <w:lang w:val="uk-UA"/>
        </w:rPr>
        <w:t xml:space="preserve"> </w:t>
      </w:r>
      <w:r w:rsidRPr="00A43205">
        <w:rPr>
          <w:rFonts w:ascii="Times New Roman" w:hAnsi="Times New Roman" w:cs="Times New Roman"/>
          <w:i/>
          <w:sz w:val="22"/>
          <w:szCs w:val="22"/>
        </w:rPr>
        <w:t>прибуток</w:t>
      </w:r>
      <w:r w:rsidRPr="00A43205">
        <w:rPr>
          <w:rFonts w:ascii="Times New Roman" w:hAnsi="Times New Roman" w:cs="Times New Roman"/>
          <w:i/>
          <w:sz w:val="22"/>
          <w:szCs w:val="22"/>
          <w:lang w:val="uk-UA"/>
        </w:rPr>
        <w:t>,отриманий у 2018р. направити на покриття збитків минулих періодів. К</w:t>
      </w:r>
      <w:r w:rsidRPr="00A43205">
        <w:rPr>
          <w:rFonts w:ascii="Times New Roman" w:hAnsi="Times New Roman" w:cs="Times New Roman"/>
          <w:i/>
          <w:sz w:val="22"/>
          <w:szCs w:val="22"/>
        </w:rPr>
        <w:t>ошти до резервного капіталу не направляти, дивіденди за 201</w:t>
      </w:r>
      <w:r w:rsidRPr="00A43205">
        <w:rPr>
          <w:rFonts w:ascii="Times New Roman" w:hAnsi="Times New Roman" w:cs="Times New Roman"/>
          <w:i/>
          <w:sz w:val="22"/>
          <w:szCs w:val="22"/>
          <w:lang w:val="uk-UA"/>
        </w:rPr>
        <w:t>8</w:t>
      </w:r>
      <w:r w:rsidRPr="00A43205">
        <w:rPr>
          <w:rFonts w:ascii="Times New Roman" w:hAnsi="Times New Roman" w:cs="Times New Roman"/>
          <w:i/>
          <w:sz w:val="22"/>
          <w:szCs w:val="22"/>
        </w:rPr>
        <w:t xml:space="preserve"> рік не нараховувати та не виплачувати.</w:t>
      </w:r>
    </w:p>
    <w:p w:rsidR="00A43205" w:rsidRPr="00A43205" w:rsidRDefault="00A43205" w:rsidP="00A43205">
      <w:pPr>
        <w:shd w:val="clear" w:color="auto" w:fill="FFFFFF"/>
        <w:spacing w:line="100" w:lineRule="atLeast"/>
        <w:ind w:left="426" w:right="97"/>
        <w:jc w:val="both"/>
        <w:rPr>
          <w:rFonts w:ascii="Times New Roman" w:hAnsi="Times New Roman" w:cs="Times New Roman"/>
          <w:color w:val="000000"/>
          <w:sz w:val="22"/>
          <w:szCs w:val="22"/>
          <w:lang w:val="uk-UA"/>
        </w:rPr>
      </w:pPr>
      <w:r w:rsidRPr="00A43205">
        <w:rPr>
          <w:rFonts w:ascii="Times New Roman" w:hAnsi="Times New Roman" w:cs="Times New Roman"/>
          <w:bCs/>
          <w:color w:val="000000"/>
          <w:sz w:val="22"/>
          <w:szCs w:val="22"/>
          <w:lang w:val="uk-UA"/>
        </w:rPr>
        <w:t>9.</w:t>
      </w:r>
      <w:r w:rsidRPr="00A43205">
        <w:rPr>
          <w:rFonts w:ascii="Times New Roman" w:hAnsi="Times New Roman" w:cs="Times New Roman"/>
          <w:b/>
          <w:bCs/>
          <w:color w:val="000000"/>
          <w:sz w:val="22"/>
          <w:szCs w:val="22"/>
          <w:lang w:val="uk-UA"/>
        </w:rPr>
        <w:t xml:space="preserve"> </w:t>
      </w:r>
      <w:r w:rsidRPr="00A43205">
        <w:rPr>
          <w:rFonts w:ascii="Times New Roman" w:hAnsi="Times New Roman" w:cs="Times New Roman"/>
          <w:color w:val="000000"/>
          <w:sz w:val="22"/>
          <w:szCs w:val="22"/>
          <w:lang w:val="uk-UA"/>
        </w:rPr>
        <w:t>Затвердження всіх правочинів, вчинених Товариством з дати проведення у 2018 році річних загальних зборів  та  до моменту проведення річних загальних зборів у 2019 році.</w:t>
      </w:r>
    </w:p>
    <w:p w:rsidR="00A43205" w:rsidRPr="00A43205" w:rsidRDefault="00A43205" w:rsidP="00A43205">
      <w:pPr>
        <w:shd w:val="clear" w:color="auto" w:fill="FFFFFF"/>
        <w:tabs>
          <w:tab w:val="left" w:pos="0"/>
        </w:tabs>
        <w:spacing w:line="200" w:lineRule="atLeast"/>
        <w:ind w:left="426" w:right="97"/>
        <w:jc w:val="both"/>
        <w:rPr>
          <w:rFonts w:ascii="Times New Roman" w:hAnsi="Times New Roman" w:cs="Times New Roman"/>
          <w:bCs/>
          <w:i/>
          <w:color w:val="000000"/>
          <w:sz w:val="22"/>
          <w:szCs w:val="22"/>
          <w:lang w:val="uk-UA"/>
        </w:rPr>
      </w:pPr>
      <w:r w:rsidRPr="00A43205">
        <w:rPr>
          <w:rFonts w:ascii="Times New Roman" w:hAnsi="Times New Roman" w:cs="Times New Roman"/>
          <w:b/>
          <w:bCs/>
          <w:i/>
          <w:color w:val="000000"/>
          <w:sz w:val="22"/>
          <w:szCs w:val="22"/>
          <w:lang w:val="uk-UA"/>
        </w:rPr>
        <w:t>Проект рішення:</w:t>
      </w:r>
      <w:r w:rsidRPr="00A43205">
        <w:rPr>
          <w:rFonts w:ascii="Times New Roman" w:hAnsi="Times New Roman" w:cs="Times New Roman"/>
          <w:bCs/>
          <w:i/>
          <w:color w:val="000000"/>
          <w:sz w:val="22"/>
          <w:szCs w:val="22"/>
          <w:lang w:val="uk-UA"/>
        </w:rPr>
        <w:t xml:space="preserve"> Затвердити всі правочини, вчинені Товариством з дати проведення у 2018 році річних загальних зборів  та  до моменту проведення річних загальних зборів у 2019 році.</w:t>
      </w:r>
    </w:p>
    <w:p w:rsidR="00A43205" w:rsidRPr="00A43205" w:rsidRDefault="00A43205" w:rsidP="00A43205">
      <w:pPr>
        <w:autoSpaceDE w:val="0"/>
        <w:ind w:left="426"/>
        <w:jc w:val="both"/>
        <w:rPr>
          <w:rFonts w:ascii="Times New Roman" w:hAnsi="Times New Roman" w:cs="Times New Roman"/>
          <w:color w:val="000000"/>
          <w:sz w:val="22"/>
          <w:szCs w:val="22"/>
          <w:lang w:val="uk-UA"/>
        </w:rPr>
      </w:pPr>
    </w:p>
    <w:p w:rsidR="00A43205" w:rsidRPr="00A43205" w:rsidRDefault="00A43205" w:rsidP="00A43205">
      <w:pPr>
        <w:ind w:firstLine="567"/>
        <w:jc w:val="both"/>
        <w:rPr>
          <w:rFonts w:ascii="Times New Roman" w:hAnsi="Times New Roman" w:cs="Times New Roman"/>
          <w:color w:val="000000"/>
          <w:spacing w:val="-6"/>
          <w:sz w:val="22"/>
          <w:szCs w:val="22"/>
        </w:rPr>
      </w:pPr>
      <w:r w:rsidRPr="00A43205">
        <w:rPr>
          <w:rFonts w:ascii="Times New Roman" w:hAnsi="Times New Roman" w:cs="Times New Roman"/>
          <w:color w:val="000000"/>
          <w:sz w:val="22"/>
          <w:szCs w:val="22"/>
        </w:rPr>
        <w:t xml:space="preserve">Реєстрація учасників буде проводитись у день </w:t>
      </w:r>
      <w:r w:rsidRPr="00A43205">
        <w:rPr>
          <w:rFonts w:ascii="Times New Roman" w:hAnsi="Times New Roman" w:cs="Times New Roman"/>
          <w:color w:val="000000"/>
          <w:sz w:val="22"/>
          <w:szCs w:val="22"/>
          <w:lang w:val="uk-UA"/>
        </w:rPr>
        <w:t xml:space="preserve">та за місцем </w:t>
      </w:r>
      <w:r w:rsidRPr="00A43205">
        <w:rPr>
          <w:rFonts w:ascii="Times New Roman" w:hAnsi="Times New Roman" w:cs="Times New Roman"/>
          <w:color w:val="000000"/>
          <w:sz w:val="22"/>
          <w:szCs w:val="22"/>
        </w:rPr>
        <w:t xml:space="preserve">проведення зборів з </w:t>
      </w:r>
      <w:r w:rsidRPr="00A43205">
        <w:rPr>
          <w:rFonts w:ascii="Times New Roman" w:hAnsi="Times New Roman" w:cs="Times New Roman"/>
          <w:color w:val="000000"/>
          <w:sz w:val="22"/>
          <w:szCs w:val="22"/>
          <w:lang w:val="uk-UA"/>
        </w:rPr>
        <w:t>13</w:t>
      </w:r>
      <w:r w:rsidRPr="00A43205">
        <w:rPr>
          <w:rFonts w:ascii="Times New Roman" w:hAnsi="Times New Roman" w:cs="Times New Roman"/>
          <w:color w:val="000000"/>
          <w:sz w:val="22"/>
          <w:szCs w:val="22"/>
        </w:rPr>
        <w:t>.</w:t>
      </w:r>
      <w:r w:rsidRPr="00A43205">
        <w:rPr>
          <w:rFonts w:ascii="Times New Roman" w:hAnsi="Times New Roman" w:cs="Times New Roman"/>
          <w:color w:val="000000"/>
          <w:sz w:val="22"/>
          <w:szCs w:val="22"/>
          <w:lang w:val="uk-UA"/>
        </w:rPr>
        <w:t>3</w:t>
      </w:r>
      <w:r w:rsidRPr="00A43205">
        <w:rPr>
          <w:rFonts w:ascii="Times New Roman" w:hAnsi="Times New Roman" w:cs="Times New Roman"/>
          <w:color w:val="000000"/>
          <w:sz w:val="22"/>
          <w:szCs w:val="22"/>
        </w:rPr>
        <w:t xml:space="preserve">0 до </w:t>
      </w:r>
      <w:r w:rsidRPr="00A43205">
        <w:rPr>
          <w:rFonts w:ascii="Times New Roman" w:hAnsi="Times New Roman" w:cs="Times New Roman"/>
          <w:color w:val="000000"/>
          <w:sz w:val="22"/>
          <w:szCs w:val="22"/>
          <w:lang w:val="uk-UA"/>
        </w:rPr>
        <w:t>13.55</w:t>
      </w:r>
      <w:r w:rsidRPr="00A43205">
        <w:rPr>
          <w:rFonts w:ascii="Times New Roman" w:hAnsi="Times New Roman" w:cs="Times New Roman"/>
          <w:color w:val="000000"/>
          <w:sz w:val="22"/>
          <w:szCs w:val="22"/>
        </w:rPr>
        <w:t xml:space="preserve"> год</w:t>
      </w:r>
      <w:r w:rsidRPr="00A43205">
        <w:rPr>
          <w:rFonts w:ascii="Times New Roman" w:hAnsi="Times New Roman" w:cs="Times New Roman"/>
          <w:color w:val="000000"/>
          <w:sz w:val="22"/>
          <w:szCs w:val="22"/>
          <w:lang w:val="uk-UA"/>
        </w:rPr>
        <w:t xml:space="preserve">. </w:t>
      </w:r>
      <w:r w:rsidRPr="00A43205">
        <w:rPr>
          <w:rFonts w:ascii="Times New Roman" w:hAnsi="Times New Roman" w:cs="Times New Roman"/>
          <w:color w:val="000000"/>
          <w:sz w:val="22"/>
          <w:szCs w:val="22"/>
        </w:rPr>
        <w:t xml:space="preserve">Дата складання переліку акціонерів, які мають право на участь у загальних зборах, </w:t>
      </w:r>
      <w:r w:rsidRPr="00A43205">
        <w:rPr>
          <w:rFonts w:ascii="Times New Roman" w:hAnsi="Times New Roman" w:cs="Times New Roman"/>
          <w:color w:val="000000"/>
          <w:sz w:val="22"/>
          <w:szCs w:val="22"/>
          <w:lang w:val="uk-UA"/>
        </w:rPr>
        <w:t>19.04.2019 року</w:t>
      </w:r>
      <w:r w:rsidRPr="00A43205">
        <w:rPr>
          <w:rFonts w:ascii="Times New Roman" w:hAnsi="Times New Roman" w:cs="Times New Roman"/>
          <w:color w:val="000000"/>
          <w:sz w:val="22"/>
          <w:szCs w:val="22"/>
        </w:rPr>
        <w:t xml:space="preserve"> на 24 годину. Для участі у Зборах акціонерам необхідно мати при собі паспорт, а представникам акціонерів паспорт та </w:t>
      </w:r>
      <w:r w:rsidRPr="00A43205">
        <w:rPr>
          <w:rFonts w:ascii="Times New Roman" w:hAnsi="Times New Roman" w:cs="Times New Roman"/>
          <w:color w:val="000000"/>
          <w:spacing w:val="-6"/>
          <w:sz w:val="22"/>
          <w:szCs w:val="22"/>
        </w:rPr>
        <w:t xml:space="preserve"> </w:t>
      </w:r>
      <w:r w:rsidRPr="00A43205">
        <w:rPr>
          <w:rFonts w:ascii="Times New Roman" w:hAnsi="Times New Roman" w:cs="Times New Roman"/>
          <w:color w:val="000000"/>
          <w:spacing w:val="-6"/>
          <w:sz w:val="22"/>
          <w:szCs w:val="22"/>
          <w:lang w:val="uk-UA"/>
        </w:rPr>
        <w:t>доручення</w:t>
      </w:r>
      <w:r w:rsidRPr="00A43205">
        <w:rPr>
          <w:rFonts w:ascii="Times New Roman" w:hAnsi="Times New Roman" w:cs="Times New Roman"/>
          <w:color w:val="000000"/>
          <w:spacing w:val="-6"/>
          <w:sz w:val="22"/>
          <w:szCs w:val="22"/>
        </w:rPr>
        <w:t xml:space="preserve"> на право представляти інтереси акціонерів на  загальних зборах, оформлену згідно з вимогами чинного законодавства. </w:t>
      </w:r>
    </w:p>
    <w:p w:rsidR="00A43205" w:rsidRPr="00A43205" w:rsidRDefault="00A43205" w:rsidP="00A43205">
      <w:pPr>
        <w:pStyle w:val="rvps2"/>
        <w:shd w:val="clear" w:color="auto" w:fill="FFFFFF"/>
        <w:spacing w:before="0" w:beforeAutospacing="0" w:after="0" w:afterAutospacing="0"/>
        <w:ind w:firstLine="567"/>
        <w:jc w:val="both"/>
        <w:textAlignment w:val="baseline"/>
        <w:rPr>
          <w:color w:val="000000"/>
          <w:sz w:val="22"/>
          <w:szCs w:val="22"/>
        </w:rPr>
      </w:pPr>
      <w:r w:rsidRPr="00A43205">
        <w:rPr>
          <w:color w:val="000000"/>
          <w:sz w:val="22"/>
          <w:szCs w:val="22"/>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A43205" w:rsidRPr="00A43205" w:rsidRDefault="00A43205" w:rsidP="00A43205">
      <w:pPr>
        <w:pStyle w:val="rvps2"/>
        <w:shd w:val="clear" w:color="auto" w:fill="FFFFFF"/>
        <w:spacing w:before="0" w:beforeAutospacing="0" w:after="0" w:afterAutospacing="0"/>
        <w:ind w:firstLine="567"/>
        <w:jc w:val="both"/>
        <w:textAlignment w:val="baseline"/>
        <w:rPr>
          <w:color w:val="000000"/>
          <w:sz w:val="22"/>
          <w:szCs w:val="22"/>
          <w:lang w:val="ru-RU"/>
        </w:rPr>
      </w:pPr>
      <w:bookmarkStart w:id="0" w:name="n520"/>
      <w:bookmarkStart w:id="1" w:name="n522"/>
      <w:bookmarkStart w:id="2" w:name="n523"/>
      <w:bookmarkStart w:id="3" w:name="n525"/>
      <w:bookmarkEnd w:id="0"/>
      <w:bookmarkEnd w:id="1"/>
      <w:bookmarkEnd w:id="2"/>
      <w:bookmarkEnd w:id="3"/>
      <w:r w:rsidRPr="00A43205">
        <w:rPr>
          <w:color w:val="000000"/>
          <w:sz w:val="22"/>
          <w:szCs w:val="22"/>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w:t>
      </w:r>
    </w:p>
    <w:p w:rsidR="00A43205" w:rsidRPr="00A43205" w:rsidRDefault="00A43205" w:rsidP="00A43205">
      <w:pPr>
        <w:pStyle w:val="rvps2"/>
        <w:shd w:val="clear" w:color="auto" w:fill="FFFFFF"/>
        <w:spacing w:before="0" w:beforeAutospacing="0" w:after="0" w:afterAutospacing="0"/>
        <w:ind w:firstLine="567"/>
        <w:jc w:val="both"/>
        <w:textAlignment w:val="baseline"/>
        <w:rPr>
          <w:color w:val="000000"/>
          <w:sz w:val="22"/>
          <w:szCs w:val="22"/>
        </w:rPr>
      </w:pPr>
      <w:r w:rsidRPr="00A43205">
        <w:rPr>
          <w:color w:val="000000"/>
          <w:sz w:val="22"/>
          <w:szCs w:val="22"/>
        </w:rPr>
        <w:t>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A43205" w:rsidRPr="00A43205" w:rsidRDefault="00A43205" w:rsidP="00A43205">
      <w:pPr>
        <w:ind w:firstLine="567"/>
        <w:jc w:val="both"/>
        <w:rPr>
          <w:rFonts w:ascii="Times New Roman" w:hAnsi="Times New Roman" w:cs="Times New Roman"/>
          <w:sz w:val="22"/>
          <w:szCs w:val="22"/>
        </w:rPr>
      </w:pPr>
      <w:bookmarkStart w:id="4" w:name="n526"/>
      <w:bookmarkEnd w:id="4"/>
      <w:r w:rsidRPr="00A43205">
        <w:rPr>
          <w:rFonts w:ascii="Times New Roman" w:hAnsi="Times New Roman" w:cs="Times New Roman"/>
          <w:sz w:val="22"/>
          <w:szCs w:val="22"/>
        </w:rPr>
        <w:lastRenderedPageBreak/>
        <w:t xml:space="preserve">Акціонер має право видати довіреність на право участі та голосування на загальних зборах декільком своїм представникам. </w:t>
      </w:r>
      <w:bookmarkStart w:id="5" w:name="n527"/>
      <w:bookmarkStart w:id="6" w:name="n528"/>
      <w:bookmarkEnd w:id="5"/>
      <w:bookmarkEnd w:id="6"/>
      <w:r w:rsidRPr="00A43205">
        <w:rPr>
          <w:rFonts w:ascii="Times New Roman" w:hAnsi="Times New Roman" w:cs="Times New Roman"/>
          <w:sz w:val="22"/>
          <w:szCs w:val="22"/>
        </w:rPr>
        <w:t xml:space="preserve">Акціонер має право у будь-який час відкликати чи замінити свого представника на загальних зборах акціонерного товариства. </w:t>
      </w:r>
      <w:bookmarkStart w:id="7" w:name="n529"/>
      <w:bookmarkEnd w:id="7"/>
      <w:r w:rsidRPr="00A43205">
        <w:rPr>
          <w:rFonts w:ascii="Times New Roman" w:hAnsi="Times New Roman" w:cs="Times New Roman"/>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A43205">
        <w:rPr>
          <w:rFonts w:ascii="Times New Roman" w:hAnsi="Times New Roman" w:cs="Times New Roman"/>
          <w:sz w:val="22"/>
          <w:szCs w:val="22"/>
          <w:shd w:val="clear" w:color="auto" w:fill="FFFFFF"/>
        </w:rPr>
        <w:t xml:space="preserve"> Від дати надіслання повідомлення про проведення загальних зборів до дати проведення загальних зборів </w:t>
      </w:r>
      <w:r w:rsidRPr="00A43205">
        <w:rPr>
          <w:rFonts w:ascii="Times New Roman" w:hAnsi="Times New Roman" w:cs="Times New Roman"/>
          <w:sz w:val="22"/>
          <w:szCs w:val="22"/>
        </w:rPr>
        <w:t xml:space="preserve">акціонери Товариства чи їх представники можуть ознайомитись з документами стосовно порядку денного у робочі дні з 09.00 до 16.00 год. за адресою:  69013, Запорізька обл., місто Запоріжжя, вул. Базова,  буд. 9-А, зал  засідань  на 2-му поверсі адмінкорпусу, і в день проведення загальних зборів – також у місці їх проведення.  Посадова особа, відповідальна за порядок ознайомлення акціонерів з матеріалами — </w:t>
      </w:r>
      <w:r w:rsidRPr="00A43205">
        <w:rPr>
          <w:rStyle w:val="FontStyle"/>
          <w:rFonts w:ascii="Times New Roman" w:eastAsia="MS Mincho" w:hAnsi="Times New Roman" w:cs="Times New Roman"/>
          <w:sz w:val="22"/>
          <w:szCs w:val="22"/>
          <w:lang w:val="uk-UA"/>
        </w:rPr>
        <w:t xml:space="preserve"> Потапова Тетяна Анатоліївна. Телефон для довідок: (061)228-62-84, </w:t>
      </w:r>
      <w:r>
        <w:rPr>
          <w:rStyle w:val="FontStyle"/>
          <w:rFonts w:ascii="Times New Roman" w:eastAsia="MS Mincho" w:hAnsi="Times New Roman" w:cs="Times New Roman"/>
          <w:sz w:val="22"/>
          <w:szCs w:val="22"/>
          <w:lang w:val="uk-UA"/>
        </w:rPr>
        <w:t>(</w:t>
      </w:r>
      <w:r w:rsidRPr="00A43205">
        <w:rPr>
          <w:rStyle w:val="FontStyle"/>
          <w:rFonts w:ascii="Times New Roman" w:eastAsia="MS Mincho" w:hAnsi="Times New Roman" w:cs="Times New Roman"/>
          <w:sz w:val="22"/>
          <w:szCs w:val="22"/>
          <w:lang w:val="uk-UA"/>
        </w:rPr>
        <w:t>095</w:t>
      </w:r>
      <w:r>
        <w:rPr>
          <w:rStyle w:val="FontStyle"/>
          <w:rFonts w:ascii="Times New Roman" w:eastAsia="MS Mincho" w:hAnsi="Times New Roman" w:cs="Times New Roman"/>
          <w:sz w:val="22"/>
          <w:szCs w:val="22"/>
          <w:lang w:val="uk-UA"/>
        </w:rPr>
        <w:t>)</w:t>
      </w:r>
      <w:r w:rsidRPr="00A43205">
        <w:rPr>
          <w:rStyle w:val="FontStyle"/>
          <w:rFonts w:ascii="Times New Roman" w:eastAsia="MS Mincho" w:hAnsi="Times New Roman" w:cs="Times New Roman"/>
          <w:sz w:val="22"/>
          <w:szCs w:val="22"/>
          <w:lang w:val="uk-UA"/>
        </w:rPr>
        <w:t>23-555-13.</w:t>
      </w:r>
      <w:r w:rsidRPr="00A43205">
        <w:rPr>
          <w:rFonts w:ascii="Times New Roman" w:hAnsi="Times New Roman" w:cs="Times New Roman"/>
          <w:color w:val="000000"/>
          <w:sz w:val="22"/>
          <w:szCs w:val="22"/>
          <w:lang w:val="uk-UA"/>
        </w:rPr>
        <w:t xml:space="preserve"> </w:t>
      </w:r>
    </w:p>
    <w:p w:rsidR="00A43205" w:rsidRPr="00A43205" w:rsidRDefault="00A43205" w:rsidP="00A43205">
      <w:pPr>
        <w:pStyle w:val="rvps2"/>
        <w:shd w:val="clear" w:color="auto" w:fill="FFFFFF"/>
        <w:spacing w:before="0" w:beforeAutospacing="0" w:after="0" w:afterAutospacing="0"/>
        <w:ind w:firstLine="567"/>
        <w:jc w:val="both"/>
        <w:textAlignment w:val="baseline"/>
        <w:rPr>
          <w:sz w:val="22"/>
          <w:szCs w:val="22"/>
          <w:lang w:val="ru-RU"/>
        </w:rPr>
      </w:pPr>
      <w:r w:rsidRPr="00A43205">
        <w:rPr>
          <w:sz w:val="22"/>
          <w:szCs w:val="22"/>
        </w:rPr>
        <w:t xml:space="preserve">Кожний акціонер має право внести пропозиції щодо питань, включених до проекту порядку денного загальних зборів акціонерів Товариства, а також щодо нових кандидатів до складу органів товариства. </w:t>
      </w:r>
      <w:bookmarkStart w:id="8" w:name="n491"/>
      <w:bookmarkStart w:id="9" w:name="n492"/>
      <w:bookmarkEnd w:id="8"/>
      <w:bookmarkEnd w:id="9"/>
      <w:r w:rsidRPr="00A43205">
        <w:rPr>
          <w:sz w:val="22"/>
          <w:szCs w:val="22"/>
        </w:rPr>
        <w:t xml:space="preserve">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Усі пропозиції вносяться відповідно до вимог ст.38 Закону України «Про акціонерні товариства». </w:t>
      </w:r>
    </w:p>
    <w:p w:rsidR="00A43205" w:rsidRPr="00A43205" w:rsidRDefault="00A43205" w:rsidP="00A43205">
      <w:pPr>
        <w:pStyle w:val="rvps2"/>
        <w:shd w:val="clear" w:color="auto" w:fill="FFFFFF"/>
        <w:spacing w:before="0" w:beforeAutospacing="0" w:after="0" w:afterAutospacing="0"/>
        <w:ind w:firstLine="567"/>
        <w:jc w:val="both"/>
        <w:textAlignment w:val="baseline"/>
        <w:rPr>
          <w:color w:val="000000"/>
          <w:sz w:val="22"/>
          <w:szCs w:val="22"/>
        </w:rPr>
      </w:pPr>
      <w:r w:rsidRPr="00A43205">
        <w:rPr>
          <w:sz w:val="22"/>
          <w:szCs w:val="22"/>
        </w:rPr>
        <w:t xml:space="preserve">Адреса власного веб-сайту, на якому розміщена інформація з проектом рішень щодо кожного з питань, включених до проекту порядку денного: www.atp-0801.pat.ua.  </w:t>
      </w:r>
      <w:r w:rsidRPr="00A43205">
        <w:rPr>
          <w:sz w:val="22"/>
          <w:szCs w:val="22"/>
        </w:rPr>
        <w:tab/>
      </w:r>
    </w:p>
    <w:p w:rsidR="00A43205" w:rsidRPr="00A43205" w:rsidRDefault="00A43205" w:rsidP="00A43205">
      <w:pPr>
        <w:ind w:firstLine="567"/>
        <w:jc w:val="both"/>
        <w:rPr>
          <w:rFonts w:ascii="Times New Roman" w:hAnsi="Times New Roman" w:cs="Times New Roman"/>
          <w:sz w:val="22"/>
          <w:szCs w:val="22"/>
        </w:rPr>
      </w:pPr>
      <w:r w:rsidRPr="00A43205">
        <w:rPr>
          <w:rFonts w:ascii="Times New Roman" w:hAnsi="Times New Roman" w:cs="Times New Roman"/>
          <w:sz w:val="22"/>
          <w:szCs w:val="22"/>
        </w:rPr>
        <w:t xml:space="preserve">Загальна кількість акцій станом на дату складання переліку осіб, яким надсилається повідомлення про проведення загальних зборів: </w:t>
      </w:r>
      <w:r w:rsidRPr="00A43205">
        <w:rPr>
          <w:rFonts w:ascii="Times New Roman" w:hAnsi="Times New Roman" w:cs="Times New Roman"/>
          <w:color w:val="000000"/>
          <w:spacing w:val="-1"/>
          <w:sz w:val="22"/>
          <w:szCs w:val="22"/>
          <w:lang w:val="uk-UA" w:eastAsia="ar-SA"/>
        </w:rPr>
        <w:t>5890</w:t>
      </w:r>
      <w:r w:rsidRPr="00A43205">
        <w:rPr>
          <w:rFonts w:ascii="Times New Roman" w:hAnsi="Times New Roman" w:cs="Times New Roman"/>
          <w:sz w:val="22"/>
          <w:szCs w:val="22"/>
          <w:lang w:val="uk-UA"/>
        </w:rPr>
        <w:t xml:space="preserve"> </w:t>
      </w:r>
      <w:r w:rsidRPr="00A43205">
        <w:rPr>
          <w:rFonts w:ascii="Times New Roman" w:hAnsi="Times New Roman" w:cs="Times New Roman"/>
          <w:sz w:val="22"/>
          <w:szCs w:val="22"/>
        </w:rPr>
        <w:t xml:space="preserve">штук. </w:t>
      </w:r>
    </w:p>
    <w:p w:rsidR="00A43205" w:rsidRPr="00A43205" w:rsidRDefault="00A43205" w:rsidP="00A43205">
      <w:pPr>
        <w:ind w:firstLine="567"/>
        <w:jc w:val="both"/>
        <w:rPr>
          <w:rFonts w:ascii="Times New Roman" w:hAnsi="Times New Roman" w:cs="Times New Roman"/>
          <w:sz w:val="22"/>
          <w:szCs w:val="22"/>
        </w:rPr>
      </w:pPr>
      <w:r w:rsidRPr="00A43205">
        <w:rPr>
          <w:rFonts w:ascii="Times New Roman" w:hAnsi="Times New Roman" w:cs="Times New Roman"/>
          <w:sz w:val="22"/>
          <w:szCs w:val="22"/>
        </w:rPr>
        <w:t>Загальна кількість голосуючих акцій станом на дату складання переліку осіб, яким надсилається повідомлення про проведення загальних зборів:</w:t>
      </w:r>
      <w:r w:rsidRPr="00A43205">
        <w:rPr>
          <w:rFonts w:ascii="Times New Roman" w:hAnsi="Times New Roman" w:cs="Times New Roman"/>
          <w:sz w:val="22"/>
          <w:szCs w:val="22"/>
          <w:lang w:val="uk-UA"/>
        </w:rPr>
        <w:t xml:space="preserve"> 50</w:t>
      </w:r>
      <w:r w:rsidRPr="00A43205">
        <w:rPr>
          <w:rFonts w:ascii="Times New Roman" w:hAnsi="Times New Roman" w:cs="Times New Roman"/>
          <w:sz w:val="22"/>
          <w:szCs w:val="22"/>
          <w:lang w:val="uk-UA"/>
        </w:rPr>
        <w:t>79</w:t>
      </w:r>
      <w:r w:rsidRPr="00A43205">
        <w:rPr>
          <w:rFonts w:ascii="Times New Roman" w:hAnsi="Times New Roman" w:cs="Times New Roman"/>
          <w:sz w:val="22"/>
          <w:szCs w:val="22"/>
        </w:rPr>
        <w:t xml:space="preserve"> шт. </w:t>
      </w:r>
    </w:p>
    <w:p w:rsidR="00A43205" w:rsidRPr="00A43205" w:rsidRDefault="00A43205" w:rsidP="00A43205">
      <w:pPr>
        <w:jc w:val="both"/>
        <w:rPr>
          <w:rFonts w:ascii="Times New Roman" w:hAnsi="Times New Roman" w:cs="Times New Roman"/>
          <w:color w:val="000000"/>
          <w:sz w:val="22"/>
          <w:szCs w:val="22"/>
        </w:rPr>
      </w:pPr>
    </w:p>
    <w:p w:rsidR="00A43205" w:rsidRPr="00A43205" w:rsidRDefault="00A43205" w:rsidP="00A43205">
      <w:pPr>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Основні показники фінансово-господарської діяльності підприємства (тис.грн.)</w:t>
      </w:r>
    </w:p>
    <w:p w:rsidR="00A43205" w:rsidRPr="00A43205" w:rsidRDefault="00A43205" w:rsidP="00A43205">
      <w:pPr>
        <w:jc w:val="center"/>
        <w:rPr>
          <w:rFonts w:ascii="Times New Roman" w:hAnsi="Times New Roman" w:cs="Times New Roman"/>
          <w:b/>
          <w:sz w:val="22"/>
          <w:szCs w:val="22"/>
          <w:lang w:val="uk-UA"/>
        </w:rPr>
      </w:pPr>
    </w:p>
    <w:tbl>
      <w:tblPr>
        <w:tblW w:w="10275" w:type="dxa"/>
        <w:tblInd w:w="-15" w:type="dxa"/>
        <w:tblLayout w:type="fixed"/>
        <w:tblLook w:val="0000" w:firstRow="0" w:lastRow="0" w:firstColumn="0" w:lastColumn="0" w:noHBand="0" w:noVBand="0"/>
      </w:tblPr>
      <w:tblGrid>
        <w:gridCol w:w="6945"/>
        <w:gridCol w:w="1710"/>
        <w:gridCol w:w="1620"/>
      </w:tblGrid>
      <w:tr w:rsidR="00A43205" w:rsidRPr="00A43205" w:rsidTr="001E6416">
        <w:tc>
          <w:tcPr>
            <w:tcW w:w="6945" w:type="dxa"/>
            <w:vMerge w:val="restart"/>
            <w:tcBorders>
              <w:top w:val="single" w:sz="4" w:space="0" w:color="000000"/>
              <w:left w:val="single" w:sz="4" w:space="0" w:color="000000"/>
              <w:bottom w:val="single" w:sz="4" w:space="0" w:color="000000"/>
              <w:right w:val="nil"/>
            </w:tcBorders>
            <w:vAlign w:val="center"/>
          </w:tcPr>
          <w:p w:rsidR="00A43205" w:rsidRPr="00A43205" w:rsidRDefault="00A43205" w:rsidP="001E6416">
            <w:pPr>
              <w:snapToGrid w:val="0"/>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Найменування показника</w:t>
            </w:r>
          </w:p>
        </w:tc>
        <w:tc>
          <w:tcPr>
            <w:tcW w:w="3330" w:type="dxa"/>
            <w:gridSpan w:val="2"/>
            <w:tcBorders>
              <w:top w:val="single" w:sz="4" w:space="0" w:color="000000"/>
              <w:left w:val="single" w:sz="4" w:space="0" w:color="000000"/>
              <w:bottom w:val="single" w:sz="4" w:space="0" w:color="000000"/>
              <w:right w:val="single" w:sz="4" w:space="0" w:color="000000"/>
            </w:tcBorders>
          </w:tcPr>
          <w:p w:rsidR="00A43205" w:rsidRPr="00A43205" w:rsidRDefault="00A43205" w:rsidP="001E6416">
            <w:pPr>
              <w:snapToGrid w:val="0"/>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Період</w:t>
            </w:r>
          </w:p>
        </w:tc>
      </w:tr>
      <w:tr w:rsidR="00A43205" w:rsidRPr="00A43205" w:rsidTr="001E6416">
        <w:tc>
          <w:tcPr>
            <w:tcW w:w="6945" w:type="dxa"/>
            <w:vMerge/>
            <w:tcBorders>
              <w:top w:val="single" w:sz="4" w:space="0" w:color="000000"/>
              <w:left w:val="single" w:sz="4" w:space="0" w:color="000000"/>
              <w:bottom w:val="single" w:sz="4" w:space="0" w:color="000000"/>
              <w:right w:val="nil"/>
            </w:tcBorders>
            <w:vAlign w:val="center"/>
          </w:tcPr>
          <w:p w:rsidR="00A43205" w:rsidRPr="00A43205" w:rsidRDefault="00A43205" w:rsidP="001E6416">
            <w:pPr>
              <w:widowControl/>
              <w:suppressAutoHyphens w:val="0"/>
              <w:rPr>
                <w:rFonts w:ascii="Times New Roman" w:hAnsi="Times New Roman" w:cs="Times New Roman"/>
                <w:b/>
                <w:sz w:val="22"/>
                <w:szCs w:val="22"/>
                <w:lang w:val="uk-UA"/>
              </w:rPr>
            </w:pPr>
          </w:p>
        </w:tc>
        <w:tc>
          <w:tcPr>
            <w:tcW w:w="1710" w:type="dxa"/>
            <w:tcBorders>
              <w:top w:val="single" w:sz="4" w:space="0" w:color="000000"/>
              <w:left w:val="single" w:sz="4" w:space="0" w:color="000000"/>
              <w:bottom w:val="single" w:sz="4" w:space="0" w:color="000000"/>
              <w:right w:val="nil"/>
            </w:tcBorders>
          </w:tcPr>
          <w:p w:rsidR="00A43205" w:rsidRPr="00A43205" w:rsidRDefault="00A43205" w:rsidP="001E6416">
            <w:pPr>
              <w:snapToGrid w:val="0"/>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 xml:space="preserve">Звітний </w:t>
            </w:r>
          </w:p>
          <w:p w:rsidR="00A43205" w:rsidRPr="00A43205" w:rsidRDefault="00A43205" w:rsidP="001E6416">
            <w:pPr>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2018 р.</w:t>
            </w:r>
          </w:p>
        </w:tc>
        <w:tc>
          <w:tcPr>
            <w:tcW w:w="1620" w:type="dxa"/>
            <w:tcBorders>
              <w:top w:val="single" w:sz="4" w:space="0" w:color="000000"/>
              <w:left w:val="single" w:sz="4" w:space="0" w:color="000000"/>
              <w:bottom w:val="single" w:sz="4" w:space="0" w:color="000000"/>
              <w:right w:val="single" w:sz="4" w:space="0" w:color="000000"/>
            </w:tcBorders>
          </w:tcPr>
          <w:p w:rsidR="00A43205" w:rsidRPr="00A43205" w:rsidRDefault="00A43205" w:rsidP="001E6416">
            <w:pPr>
              <w:snapToGrid w:val="0"/>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 xml:space="preserve">Попередній </w:t>
            </w:r>
          </w:p>
          <w:p w:rsidR="00A43205" w:rsidRPr="00A43205" w:rsidRDefault="00A43205" w:rsidP="001E6416">
            <w:pPr>
              <w:snapToGrid w:val="0"/>
              <w:jc w:val="center"/>
              <w:rPr>
                <w:rFonts w:ascii="Times New Roman" w:hAnsi="Times New Roman" w:cs="Times New Roman"/>
                <w:b/>
                <w:sz w:val="22"/>
                <w:szCs w:val="22"/>
                <w:lang w:val="uk-UA"/>
              </w:rPr>
            </w:pPr>
            <w:r w:rsidRPr="00A43205">
              <w:rPr>
                <w:rFonts w:ascii="Times New Roman" w:hAnsi="Times New Roman" w:cs="Times New Roman"/>
                <w:b/>
                <w:sz w:val="22"/>
                <w:szCs w:val="22"/>
                <w:lang w:val="uk-UA"/>
              </w:rPr>
              <w:t>2017 р.</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Усього активів</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2411,8</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1801,2</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lang w:val="uk-UA"/>
              </w:rPr>
            </w:pPr>
            <w:r w:rsidRPr="00A43205">
              <w:rPr>
                <w:rFonts w:ascii="Times New Roman" w:hAnsi="Times New Roman" w:cs="Times New Roman"/>
                <w:sz w:val="22"/>
                <w:szCs w:val="22"/>
              </w:rPr>
              <w:t>Основні засоби (за залишковою вар</w:t>
            </w:r>
            <w:r w:rsidRPr="00A43205">
              <w:rPr>
                <w:rFonts w:ascii="Times New Roman" w:hAnsi="Times New Roman" w:cs="Times New Roman"/>
                <w:sz w:val="22"/>
                <w:szCs w:val="22"/>
                <w:lang w:val="uk-UA"/>
              </w:rPr>
              <w:t>тістю)</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819,5</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621,3</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Запаси</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475,6</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201,8</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Сумарна дебіторська заборгованість</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449,8</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320,6</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Грошові кошти та їх еквіваленти</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151,0</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196,2</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lang w:val="uk-UA"/>
              </w:rPr>
            </w:pPr>
            <w:r w:rsidRPr="00A43205">
              <w:rPr>
                <w:rFonts w:ascii="Times New Roman" w:hAnsi="Times New Roman" w:cs="Times New Roman"/>
                <w:sz w:val="22"/>
                <w:szCs w:val="22"/>
                <w:lang w:val="uk-UA"/>
              </w:rPr>
              <w:t>Інші фінансові інвестиції</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p>
        </w:tc>
      </w:tr>
      <w:tr w:rsidR="00A43205" w:rsidRPr="00A43205" w:rsidTr="001E6416">
        <w:trPr>
          <w:trHeight w:val="70"/>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Нерозподілений прибуток  ( непокритий збиток)</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(1307,3)</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(1683,2)</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Власний капітал</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956,3</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580,4</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lang w:val="uk-UA"/>
              </w:rPr>
              <w:t>Зареєстрований(с</w:t>
            </w:r>
            <w:r w:rsidRPr="00A43205">
              <w:rPr>
                <w:rFonts w:ascii="Times New Roman" w:hAnsi="Times New Roman" w:cs="Times New Roman"/>
                <w:sz w:val="22"/>
                <w:szCs w:val="22"/>
              </w:rPr>
              <w:t>татутний</w:t>
            </w:r>
            <w:r w:rsidRPr="00A43205">
              <w:rPr>
                <w:rFonts w:ascii="Times New Roman" w:hAnsi="Times New Roman" w:cs="Times New Roman"/>
                <w:sz w:val="22"/>
                <w:szCs w:val="22"/>
                <w:lang w:val="uk-UA"/>
              </w:rPr>
              <w:t>)</w:t>
            </w:r>
            <w:r w:rsidRPr="00A43205">
              <w:rPr>
                <w:rFonts w:ascii="Times New Roman" w:hAnsi="Times New Roman" w:cs="Times New Roman"/>
                <w:sz w:val="22"/>
                <w:szCs w:val="22"/>
              </w:rPr>
              <w:t xml:space="preserve"> капітал</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20,6</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20,6</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Довгострокові зобов'язання</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lang w:val="uk-UA"/>
              </w:rPr>
            </w:pPr>
            <w:r w:rsidRPr="00A43205">
              <w:rPr>
                <w:rFonts w:ascii="Times New Roman" w:hAnsi="Times New Roman" w:cs="Times New Roman"/>
                <w:sz w:val="22"/>
                <w:szCs w:val="22"/>
              </w:rPr>
              <w:t>Поточні зобов'язання</w:t>
            </w:r>
            <w:r w:rsidRPr="00A43205">
              <w:rPr>
                <w:rFonts w:ascii="Times New Roman" w:hAnsi="Times New Roman" w:cs="Times New Roman"/>
                <w:sz w:val="22"/>
                <w:szCs w:val="22"/>
                <w:lang w:val="uk-UA"/>
              </w:rPr>
              <w:t xml:space="preserve"> і забезпечення</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1455,5</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1220,8</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Чистий</w:t>
            </w:r>
            <w:r w:rsidRPr="00A43205">
              <w:rPr>
                <w:rFonts w:ascii="Times New Roman" w:hAnsi="Times New Roman" w:cs="Times New Roman"/>
                <w:sz w:val="22"/>
                <w:szCs w:val="22"/>
                <w:lang w:val="uk-UA"/>
              </w:rPr>
              <w:t xml:space="preserve"> фінансовий результат:</w:t>
            </w:r>
            <w:r w:rsidRPr="00A43205">
              <w:rPr>
                <w:rFonts w:ascii="Times New Roman" w:hAnsi="Times New Roman" w:cs="Times New Roman"/>
                <w:sz w:val="22"/>
                <w:szCs w:val="22"/>
              </w:rPr>
              <w:t xml:space="preserve"> прибуток (збиток) </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375,9</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357,1</w:t>
            </w:r>
          </w:p>
        </w:tc>
      </w:tr>
      <w:tr w:rsidR="00A43205" w:rsidRPr="00A43205" w:rsidTr="001E6416">
        <w:trPr>
          <w:trHeight w:val="255"/>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sz w:val="22"/>
                <w:szCs w:val="22"/>
              </w:rPr>
              <w:t>Середньорічна кількість  акцій (шт.)</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5890</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color w:val="000000"/>
                <w:sz w:val="22"/>
                <w:szCs w:val="22"/>
                <w:lang w:val="uk-UA"/>
              </w:rPr>
            </w:pPr>
            <w:r w:rsidRPr="00A43205">
              <w:rPr>
                <w:rFonts w:ascii="Times New Roman" w:hAnsi="Times New Roman" w:cs="Times New Roman"/>
                <w:color w:val="000000"/>
                <w:sz w:val="22"/>
                <w:szCs w:val="22"/>
                <w:lang w:val="uk-UA"/>
              </w:rPr>
              <w:t>5890</w:t>
            </w:r>
          </w:p>
        </w:tc>
      </w:tr>
      <w:tr w:rsidR="00A43205" w:rsidRPr="00A43205" w:rsidTr="001E6416">
        <w:trPr>
          <w:trHeight w:val="224"/>
        </w:trPr>
        <w:tc>
          <w:tcPr>
            <w:tcW w:w="6945"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rPr>
                <w:rFonts w:ascii="Times New Roman" w:hAnsi="Times New Roman" w:cs="Times New Roman"/>
                <w:sz w:val="22"/>
                <w:szCs w:val="22"/>
              </w:rPr>
            </w:pPr>
            <w:r w:rsidRPr="00A43205">
              <w:rPr>
                <w:rFonts w:ascii="Times New Roman" w:hAnsi="Times New Roman" w:cs="Times New Roman"/>
                <w:color w:val="000000"/>
                <w:sz w:val="22"/>
                <w:szCs w:val="22"/>
              </w:rPr>
              <w:t>Чистий прибуток (збиток) на одну просту акцію (грн)</w:t>
            </w:r>
          </w:p>
        </w:tc>
        <w:tc>
          <w:tcPr>
            <w:tcW w:w="1710" w:type="dxa"/>
            <w:tcBorders>
              <w:top w:val="single" w:sz="4" w:space="0" w:color="000000"/>
              <w:left w:val="single" w:sz="4" w:space="0" w:color="000000"/>
              <w:bottom w:val="single" w:sz="4" w:space="0" w:color="000000"/>
              <w:right w:val="nil"/>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63,82</w:t>
            </w:r>
          </w:p>
        </w:tc>
        <w:tc>
          <w:tcPr>
            <w:tcW w:w="1620" w:type="dxa"/>
            <w:tcBorders>
              <w:top w:val="single" w:sz="4" w:space="0" w:color="000000"/>
              <w:left w:val="single" w:sz="4" w:space="0" w:color="000000"/>
              <w:bottom w:val="single" w:sz="4" w:space="0" w:color="000000"/>
              <w:right w:val="single" w:sz="4" w:space="0" w:color="000000"/>
            </w:tcBorders>
            <w:vAlign w:val="bottom"/>
          </w:tcPr>
          <w:p w:rsidR="00A43205" w:rsidRPr="00A43205" w:rsidRDefault="00A43205" w:rsidP="001E6416">
            <w:pPr>
              <w:snapToGrid w:val="0"/>
              <w:jc w:val="center"/>
              <w:rPr>
                <w:rFonts w:ascii="Times New Roman" w:hAnsi="Times New Roman" w:cs="Times New Roman"/>
                <w:sz w:val="22"/>
                <w:szCs w:val="22"/>
                <w:lang w:val="uk-UA"/>
              </w:rPr>
            </w:pPr>
            <w:r w:rsidRPr="00A43205">
              <w:rPr>
                <w:rFonts w:ascii="Times New Roman" w:hAnsi="Times New Roman" w:cs="Times New Roman"/>
                <w:sz w:val="22"/>
                <w:szCs w:val="22"/>
                <w:lang w:val="uk-UA"/>
              </w:rPr>
              <w:t>60,63</w:t>
            </w:r>
          </w:p>
        </w:tc>
      </w:tr>
    </w:tbl>
    <w:p w:rsidR="00A43205" w:rsidRPr="00A43205" w:rsidRDefault="00A43205" w:rsidP="00A43205">
      <w:pPr>
        <w:shd w:val="clear" w:color="auto" w:fill="FFFFFF"/>
        <w:tabs>
          <w:tab w:val="left" w:pos="851"/>
        </w:tabs>
        <w:jc w:val="both"/>
        <w:rPr>
          <w:rFonts w:ascii="Times New Roman" w:hAnsi="Times New Roman" w:cs="Times New Roman"/>
          <w:color w:val="000000"/>
          <w:sz w:val="22"/>
          <w:szCs w:val="22"/>
          <w:lang w:val="uk-UA"/>
        </w:rPr>
      </w:pPr>
      <w:bookmarkStart w:id="10" w:name="_GoBack"/>
      <w:bookmarkEnd w:id="10"/>
      <w:r w:rsidRPr="00A43205">
        <w:rPr>
          <w:rFonts w:ascii="Times New Roman" w:hAnsi="Times New Roman" w:cs="Times New Roman"/>
          <w:b/>
          <w:bCs/>
          <w:color w:val="000000"/>
          <w:sz w:val="22"/>
          <w:szCs w:val="22"/>
          <w:lang w:val="uk-UA"/>
        </w:rPr>
        <w:t>Наглядова рада ПрАТ "АТП-0801</w:t>
      </w:r>
    </w:p>
    <w:p w:rsidR="00E42D43" w:rsidRPr="00A43205" w:rsidRDefault="00A43205">
      <w:pPr>
        <w:rPr>
          <w:sz w:val="22"/>
          <w:szCs w:val="22"/>
        </w:rPr>
      </w:pPr>
    </w:p>
    <w:sectPr w:rsidR="00E42D43" w:rsidRPr="00A43205" w:rsidSect="00A43205">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05"/>
    <w:rsid w:val="00A43205"/>
    <w:rsid w:val="00E13735"/>
    <w:rsid w:val="00EA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0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A43205"/>
    <w:rPr>
      <w:color w:val="000000"/>
      <w:sz w:val="28"/>
      <w:szCs w:val="28"/>
    </w:rPr>
  </w:style>
  <w:style w:type="paragraph" w:customStyle="1" w:styleId="rvps2">
    <w:name w:val="rvps2"/>
    <w:basedOn w:val="a"/>
    <w:rsid w:val="00A43205"/>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205"/>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A43205"/>
    <w:rPr>
      <w:color w:val="000000"/>
      <w:sz w:val="28"/>
      <w:szCs w:val="28"/>
    </w:rPr>
  </w:style>
  <w:style w:type="paragraph" w:customStyle="1" w:styleId="rvps2">
    <w:name w:val="rvps2"/>
    <w:basedOn w:val="a"/>
    <w:rsid w:val="00A43205"/>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4448</Words>
  <Characters>2536</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Гудвил-Брок</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ZhovtonogL</dc:creator>
  <cp:lastModifiedBy>ZhovtonogL</cp:lastModifiedBy>
  <cp:revision>1</cp:revision>
  <dcterms:created xsi:type="dcterms:W3CDTF">2019-03-22T11:29:00Z</dcterms:created>
  <dcterms:modified xsi:type="dcterms:W3CDTF">2019-03-22T11:37:00Z</dcterms:modified>
</cp:coreProperties>
</file>